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E8" w:rsidRDefault="00AD0FE8">
      <w:pPr>
        <w:pStyle w:val="normal0"/>
      </w:pPr>
    </w:p>
    <w:p w:rsidR="0015562B" w:rsidRDefault="00120DF7">
      <w:pPr>
        <w:pStyle w:val="normal0"/>
      </w:pPr>
      <w:r>
        <w:pict>
          <v:rect id="_x0000_i1025" style="width:0;height:1.5pt" o:hralign="center" o:hrstd="t" o:hr="t" fillcolor="#a0a0a0" stroked="f"/>
        </w:pict>
      </w:r>
    </w:p>
    <w:p w:rsidR="0015562B" w:rsidRDefault="0015562B">
      <w:pPr>
        <w:pStyle w:val="normal0"/>
      </w:pPr>
    </w:p>
    <w:p w:rsidR="0015562B" w:rsidRDefault="006741AF" w:rsidP="006741AF">
      <w:pPr>
        <w:pStyle w:val="normal0"/>
        <w:numPr>
          <w:ilvl w:val="0"/>
          <w:numId w:val="4"/>
        </w:numPr>
        <w:ind w:left="284"/>
        <w:contextualSpacing/>
      </w:pPr>
      <w:r>
        <w:t>Department making the request:</w:t>
      </w:r>
    </w:p>
    <w:tbl>
      <w:tblPr>
        <w:tblStyle w:val="a"/>
        <w:tblpPr w:leftFromText="180" w:rightFromText="180" w:vertAnchor="text" w:horzAnchor="page" w:tblpX="1421" w:tblpY="6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50EC7" w:rsidTr="00E50EC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C7" w:rsidRDefault="00E50EC7" w:rsidP="00E50EC7">
            <w:pPr>
              <w:pStyle w:val="normal0"/>
              <w:widowControl w:val="0"/>
              <w:spacing w:line="240" w:lineRule="auto"/>
            </w:pPr>
          </w:p>
          <w:p w:rsidR="00CB233E" w:rsidRDefault="00CB233E" w:rsidP="00E50EC7">
            <w:pPr>
              <w:pStyle w:val="normal0"/>
              <w:widowControl w:val="0"/>
              <w:spacing w:line="240" w:lineRule="auto"/>
            </w:pPr>
          </w:p>
        </w:tc>
      </w:tr>
    </w:tbl>
    <w:p w:rsidR="0015562B" w:rsidRDefault="0015562B">
      <w:pPr>
        <w:pStyle w:val="normal0"/>
      </w:pPr>
    </w:p>
    <w:p w:rsidR="0015562B" w:rsidRDefault="006741AF" w:rsidP="006741AF">
      <w:pPr>
        <w:pStyle w:val="normal0"/>
        <w:numPr>
          <w:ilvl w:val="0"/>
          <w:numId w:val="2"/>
        </w:numPr>
        <w:ind w:left="284"/>
        <w:contextualSpacing/>
      </w:pPr>
      <w:r>
        <w:t>Department Contact d</w:t>
      </w:r>
      <w:r w:rsidR="00AD0FE8">
        <w:t>etails</w:t>
      </w:r>
      <w:r>
        <w:t>:</w:t>
      </w:r>
    </w:p>
    <w:p w:rsidR="0015562B" w:rsidRDefault="0015562B">
      <w:pPr>
        <w:pStyle w:val="normal0"/>
      </w:pPr>
    </w:p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5562B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62B" w:rsidRDefault="00AD0FE8">
            <w:pPr>
              <w:pStyle w:val="normal0"/>
              <w:widowControl w:val="0"/>
              <w:spacing w:line="240" w:lineRule="auto"/>
            </w:pPr>
            <w:r>
              <w:t>Name:</w:t>
            </w:r>
          </w:p>
          <w:p w:rsidR="0015562B" w:rsidRDefault="00AD0FE8">
            <w:pPr>
              <w:pStyle w:val="normal0"/>
              <w:widowControl w:val="0"/>
              <w:spacing w:line="240" w:lineRule="auto"/>
            </w:pPr>
            <w:r>
              <w:t>Phone:</w:t>
            </w:r>
          </w:p>
          <w:p w:rsidR="0015562B" w:rsidRDefault="00AD0FE8">
            <w:pPr>
              <w:pStyle w:val="normal0"/>
              <w:widowControl w:val="0"/>
              <w:spacing w:line="240" w:lineRule="auto"/>
            </w:pPr>
            <w:r>
              <w:t>Email:</w:t>
            </w:r>
          </w:p>
        </w:tc>
      </w:tr>
    </w:tbl>
    <w:p w:rsidR="0015562B" w:rsidRDefault="0015562B">
      <w:pPr>
        <w:pStyle w:val="normal0"/>
      </w:pPr>
    </w:p>
    <w:p w:rsidR="0015562B" w:rsidRDefault="00AD0FE8" w:rsidP="006741AF">
      <w:pPr>
        <w:pStyle w:val="normal0"/>
        <w:numPr>
          <w:ilvl w:val="0"/>
          <w:numId w:val="3"/>
        </w:numPr>
        <w:ind w:left="284"/>
        <w:contextualSpacing/>
      </w:pPr>
      <w:r>
        <w:t>Details of the original appointment</w:t>
      </w:r>
      <w:r w:rsidR="00E50EC7">
        <w:t>(</w:t>
      </w:r>
      <w:r>
        <w:t>s</w:t>
      </w:r>
      <w:r w:rsidR="00E50EC7">
        <w:t>):</w:t>
      </w:r>
    </w:p>
    <w:p w:rsidR="00445F23" w:rsidRDefault="00445F23" w:rsidP="00445F23">
      <w:pPr>
        <w:pStyle w:val="normal0"/>
        <w:ind w:left="284"/>
        <w:contextualSpacing/>
      </w:pPr>
    </w:p>
    <w:tbl>
      <w:tblPr>
        <w:tblStyle w:val="a1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5562B" w:rsidTr="00E50EC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33E" w:rsidRDefault="00CB233E" w:rsidP="00CB233E">
            <w:pPr>
              <w:pStyle w:val="normal0"/>
              <w:widowControl w:val="0"/>
              <w:spacing w:line="360" w:lineRule="auto"/>
            </w:pPr>
            <w:r>
              <w:t>Number of individuals you wish to convert to permanency:</w:t>
            </w:r>
          </w:p>
          <w:p w:rsidR="00CB233E" w:rsidRDefault="00CB233E" w:rsidP="00CB233E">
            <w:pPr>
              <w:pStyle w:val="normal0"/>
              <w:widowControl w:val="0"/>
              <w:spacing w:line="360" w:lineRule="auto"/>
            </w:pPr>
            <w:r>
              <w:t>Initial start date(s):</w:t>
            </w:r>
          </w:p>
          <w:p w:rsidR="0015562B" w:rsidRDefault="00AD0FE8" w:rsidP="00CB233E">
            <w:pPr>
              <w:pStyle w:val="normal0"/>
              <w:widowControl w:val="0"/>
              <w:spacing w:line="360" w:lineRule="auto"/>
            </w:pPr>
            <w:r>
              <w:t xml:space="preserve">Exception Number </w:t>
            </w:r>
            <w:r w:rsidR="00E50EC7">
              <w:t>(</w:t>
            </w:r>
            <w:r>
              <w:t>1 or 2</w:t>
            </w:r>
            <w:r w:rsidR="00E50EC7">
              <w:t>)</w:t>
            </w:r>
            <w:r>
              <w:t xml:space="preserve">: </w:t>
            </w:r>
          </w:p>
          <w:p w:rsidR="0015562B" w:rsidRDefault="00AD0FE8" w:rsidP="00CB233E">
            <w:pPr>
              <w:pStyle w:val="normal0"/>
              <w:widowControl w:val="0"/>
              <w:spacing w:line="360" w:lineRule="auto"/>
            </w:pPr>
            <w:r>
              <w:t>Title</w:t>
            </w:r>
            <w:r w:rsidR="00CB233E">
              <w:t>(s)</w:t>
            </w:r>
            <w:r>
              <w:t xml:space="preserve"> of Role</w:t>
            </w:r>
            <w:r w:rsidR="00CB233E">
              <w:t xml:space="preserve"> (s)</w:t>
            </w:r>
            <w:r>
              <w:t>:</w:t>
            </w:r>
          </w:p>
          <w:p w:rsidR="0015562B" w:rsidRDefault="00E50EC7" w:rsidP="00CB233E">
            <w:pPr>
              <w:pStyle w:val="normal0"/>
              <w:widowControl w:val="0"/>
              <w:spacing w:line="360" w:lineRule="auto"/>
            </w:pPr>
            <w:r>
              <w:t>Grade</w:t>
            </w:r>
            <w:r w:rsidR="00CB233E">
              <w:t>(s)</w:t>
            </w:r>
            <w:r>
              <w:t xml:space="preserve"> (AA, AO, EO)</w:t>
            </w:r>
            <w:r>
              <w:rPr>
                <w:rStyle w:val="FootnoteReference"/>
              </w:rPr>
              <w:footnoteReference w:id="1"/>
            </w:r>
            <w:r>
              <w:t xml:space="preserve"> :</w:t>
            </w:r>
          </w:p>
        </w:tc>
      </w:tr>
    </w:tbl>
    <w:p w:rsidR="0015562B" w:rsidRDefault="0015562B">
      <w:pPr>
        <w:pStyle w:val="normal0"/>
      </w:pPr>
    </w:p>
    <w:p w:rsidR="00445F23" w:rsidRDefault="00445F23">
      <w:pPr>
        <w:pStyle w:val="normal0"/>
      </w:pPr>
    </w:p>
    <w:p w:rsidR="00E50EC7" w:rsidRDefault="00E50EC7" w:rsidP="006741AF">
      <w:pPr>
        <w:pStyle w:val="normal0"/>
        <w:numPr>
          <w:ilvl w:val="0"/>
          <w:numId w:val="1"/>
        </w:numPr>
        <w:ind w:left="284"/>
        <w:contextualSpacing/>
      </w:pPr>
      <w:r>
        <w:t xml:space="preserve">How </w:t>
      </w:r>
      <w:r w:rsidR="006741AF">
        <w:t>did you identify the individual(s)</w:t>
      </w:r>
      <w:r>
        <w:t xml:space="preserve"> for the original appointment?</w:t>
      </w:r>
    </w:p>
    <w:p w:rsidR="00E50EC7" w:rsidRDefault="00E50EC7" w:rsidP="00E50EC7">
      <w:pPr>
        <w:pStyle w:val="normal0"/>
        <w:widowControl w:val="0"/>
        <w:spacing w:line="240" w:lineRule="auto"/>
      </w:pPr>
    </w:p>
    <w:tbl>
      <w:tblPr>
        <w:tblStyle w:val="a"/>
        <w:tblpPr w:leftFromText="180" w:rightFromText="180" w:vertAnchor="text" w:horzAnchor="page" w:tblpX="1421" w:tblpY="60"/>
        <w:tblW w:w="8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9"/>
      </w:tblGrid>
      <w:tr w:rsidR="00E50EC7" w:rsidTr="00E50EC7">
        <w:trPr>
          <w:trHeight w:val="1111"/>
        </w:trPr>
        <w:tc>
          <w:tcPr>
            <w:tcW w:w="8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EC7" w:rsidRDefault="00E50EC7" w:rsidP="00E50EC7">
            <w:pPr>
              <w:pStyle w:val="normal0"/>
              <w:widowControl w:val="0"/>
              <w:spacing w:line="240" w:lineRule="auto"/>
            </w:pPr>
          </w:p>
          <w:p w:rsidR="00CB233E" w:rsidRDefault="00CB233E" w:rsidP="00E50EC7">
            <w:pPr>
              <w:pStyle w:val="normal0"/>
              <w:widowControl w:val="0"/>
              <w:spacing w:line="240" w:lineRule="auto"/>
            </w:pPr>
          </w:p>
          <w:p w:rsidR="00CB233E" w:rsidRDefault="00CB233E" w:rsidP="00E50EC7">
            <w:pPr>
              <w:pStyle w:val="normal0"/>
              <w:widowControl w:val="0"/>
              <w:spacing w:line="240" w:lineRule="auto"/>
            </w:pPr>
          </w:p>
          <w:p w:rsidR="00CB233E" w:rsidRDefault="00CB233E" w:rsidP="00E50EC7">
            <w:pPr>
              <w:pStyle w:val="normal0"/>
              <w:widowControl w:val="0"/>
              <w:spacing w:line="240" w:lineRule="auto"/>
            </w:pPr>
          </w:p>
          <w:p w:rsidR="00445F23" w:rsidRDefault="00445F23" w:rsidP="00E50EC7">
            <w:pPr>
              <w:pStyle w:val="normal0"/>
              <w:widowControl w:val="0"/>
              <w:spacing w:line="240" w:lineRule="auto"/>
            </w:pPr>
          </w:p>
          <w:p w:rsidR="00CB233E" w:rsidRDefault="00CB233E" w:rsidP="00E50EC7">
            <w:pPr>
              <w:pStyle w:val="normal0"/>
              <w:widowControl w:val="0"/>
              <w:spacing w:line="240" w:lineRule="auto"/>
            </w:pPr>
          </w:p>
          <w:p w:rsidR="00CB233E" w:rsidRDefault="00CB233E" w:rsidP="00E50EC7">
            <w:pPr>
              <w:pStyle w:val="normal0"/>
              <w:widowControl w:val="0"/>
              <w:spacing w:line="240" w:lineRule="auto"/>
            </w:pPr>
          </w:p>
        </w:tc>
      </w:tr>
    </w:tbl>
    <w:p w:rsidR="00120DF7" w:rsidRDefault="00120DF7" w:rsidP="00E50EC7">
      <w:pPr>
        <w:pStyle w:val="normal0"/>
        <w:contextualSpacing/>
      </w:pPr>
    </w:p>
    <w:p w:rsidR="00120DF7" w:rsidRDefault="00120DF7">
      <w:r>
        <w:br w:type="page"/>
      </w:r>
    </w:p>
    <w:p w:rsidR="00445F23" w:rsidRDefault="00445F23" w:rsidP="00E50EC7">
      <w:pPr>
        <w:pStyle w:val="normal0"/>
        <w:contextualSpacing/>
      </w:pPr>
    </w:p>
    <w:p w:rsidR="00120DF7" w:rsidRDefault="00120DF7" w:rsidP="00E50EC7">
      <w:pPr>
        <w:pStyle w:val="normal0"/>
        <w:contextualSpacing/>
      </w:pPr>
      <w:bookmarkStart w:id="0" w:name="_GoBack"/>
      <w:bookmarkEnd w:id="0"/>
    </w:p>
    <w:p w:rsidR="00CB233E" w:rsidRDefault="00AD0FE8" w:rsidP="00445F23">
      <w:pPr>
        <w:pStyle w:val="normal0"/>
        <w:numPr>
          <w:ilvl w:val="0"/>
          <w:numId w:val="1"/>
        </w:numPr>
        <w:ind w:left="142"/>
        <w:contextualSpacing/>
      </w:pPr>
      <w:r>
        <w:t>Description of the fair and merit-based process you intend to apply</w:t>
      </w:r>
      <w:r w:rsidR="006741AF">
        <w:t xml:space="preserve"> in order to convert to permanency</w:t>
      </w:r>
      <w:r w:rsidR="00E50EC7">
        <w:t>:</w:t>
      </w:r>
    </w:p>
    <w:p w:rsidR="00CB233E" w:rsidRDefault="00CB233E">
      <w:pPr>
        <w:pStyle w:val="normal0"/>
      </w:pPr>
    </w:p>
    <w:tbl>
      <w:tblPr>
        <w:tblStyle w:val="a2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5562B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62B" w:rsidRDefault="00AD0F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There are a number of different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possible approaches. For example, you may allow an individual to compete in an internal competition or it could be on the basis of consideration of performance appraisal assessments. There may</w:t>
            </w:r>
            <w:r w:rsidR="00CB233E">
              <w:rPr>
                <w:i/>
              </w:rPr>
              <w:t xml:space="preserve"> </w:t>
            </w:r>
            <w:r>
              <w:rPr>
                <w:i/>
              </w:rPr>
              <w:t xml:space="preserve">be other valid approaches. </w:t>
            </w:r>
          </w:p>
          <w:p w:rsidR="0015562B" w:rsidRDefault="001556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5562B" w:rsidRDefault="001556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5562B" w:rsidRDefault="001556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15562B" w:rsidRDefault="00120DF7">
      <w:pPr>
        <w:pStyle w:val="normal0"/>
        <w:rPr>
          <w:i/>
        </w:rPr>
      </w:pPr>
      <w:r>
        <w:pict>
          <v:rect id="_x0000_i1026" style="width:0;height:1.5pt" o:hralign="center" o:hrstd="t" o:hr="t" fillcolor="#a0a0a0" stroked="f"/>
        </w:pict>
      </w:r>
    </w:p>
    <w:p w:rsidR="0015562B" w:rsidRDefault="00AD0FE8">
      <w:pPr>
        <w:pStyle w:val="normal0"/>
      </w:pPr>
      <w:r>
        <w:rPr>
          <w:i/>
        </w:rPr>
        <w:t xml:space="preserve">Please submit completed forms to </w:t>
      </w:r>
      <w:hyperlink r:id="rId8">
        <w:r>
          <w:rPr>
            <w:i/>
            <w:color w:val="1155CC"/>
            <w:u w:val="single"/>
          </w:rPr>
          <w:t>info@csc.gov.uk</w:t>
        </w:r>
      </w:hyperlink>
      <w:r>
        <w:rPr>
          <w:i/>
        </w:rPr>
        <w:t xml:space="preserve"> clearly stating in the subject line that </w:t>
      </w:r>
      <w:r w:rsidR="00E50EC7">
        <w:rPr>
          <w:i/>
        </w:rPr>
        <w:t xml:space="preserve">it </w:t>
      </w:r>
      <w:r>
        <w:rPr>
          <w:i/>
        </w:rPr>
        <w:t>is a</w:t>
      </w:r>
      <w:r w:rsidR="00E50EC7">
        <w:rPr>
          <w:i/>
        </w:rPr>
        <w:t>n E</w:t>
      </w:r>
      <w:r>
        <w:rPr>
          <w:i/>
        </w:rPr>
        <w:t xml:space="preserve">xception request. Please note that the Commission aims to respond to requests within 5 working days once all information required has been received. </w:t>
      </w:r>
      <w:r>
        <w:t xml:space="preserve"> </w:t>
      </w:r>
    </w:p>
    <w:p w:rsidR="0015562B" w:rsidRDefault="00120DF7">
      <w:pPr>
        <w:pStyle w:val="normal0"/>
      </w:pPr>
      <w:r>
        <w:pict>
          <v:rect id="_x0000_i1027" style="width:0;height:1.5pt" o:hralign="center" o:hrstd="t" o:hr="t" fillcolor="#a0a0a0" stroked="f"/>
        </w:pict>
      </w:r>
    </w:p>
    <w:p w:rsidR="0015562B" w:rsidRDefault="0015562B">
      <w:pPr>
        <w:pStyle w:val="normal0"/>
      </w:pPr>
    </w:p>
    <w:sectPr w:rsidR="0015562B" w:rsidSect="00AD0FE8">
      <w:headerReference w:type="default" r:id="rId9"/>
      <w:footerReference w:type="default" r:id="rId10"/>
      <w:pgSz w:w="11909" w:h="16834"/>
      <w:pgMar w:top="1418" w:right="1418" w:bottom="1418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EC7" w:rsidRDefault="00E50EC7">
      <w:pPr>
        <w:spacing w:line="240" w:lineRule="auto"/>
      </w:pPr>
      <w:r>
        <w:separator/>
      </w:r>
    </w:p>
  </w:endnote>
  <w:endnote w:type="continuationSeparator" w:id="0">
    <w:p w:rsidR="00E50EC7" w:rsidRDefault="00E50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C7" w:rsidRDefault="00E50EC7">
    <w:pPr>
      <w:pStyle w:val="normal0"/>
      <w:rPr>
        <w:i/>
        <w:color w:val="222222"/>
        <w:sz w:val="19"/>
        <w:szCs w:val="19"/>
      </w:rPr>
    </w:pPr>
    <w:r>
      <w:rPr>
        <w:i/>
        <w:color w:val="222222"/>
        <w:sz w:val="19"/>
        <w:szCs w:val="19"/>
      </w:rPr>
      <w:t>For information on how we collect, and what we do with your personal data, please see our privacy notices:</w:t>
    </w:r>
  </w:p>
  <w:p w:rsidR="00E50EC7" w:rsidRDefault="00120DF7">
    <w:pPr>
      <w:pStyle w:val="normal0"/>
    </w:pPr>
    <w:hyperlink r:id="rId1">
      <w:r w:rsidR="00E50EC7">
        <w:rPr>
          <w:color w:val="1155CC"/>
          <w:sz w:val="19"/>
          <w:szCs w:val="19"/>
          <w:u w:val="single"/>
        </w:rPr>
        <w:t>http://civilservicecommission.independent.gov.uk/privacy-and-cookies-policy/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EC7" w:rsidRDefault="00E50EC7">
      <w:pPr>
        <w:spacing w:line="240" w:lineRule="auto"/>
      </w:pPr>
      <w:r>
        <w:separator/>
      </w:r>
    </w:p>
  </w:footnote>
  <w:footnote w:type="continuationSeparator" w:id="0">
    <w:p w:rsidR="00E50EC7" w:rsidRDefault="00E50EC7">
      <w:pPr>
        <w:spacing w:line="240" w:lineRule="auto"/>
      </w:pPr>
      <w:r>
        <w:continuationSeparator/>
      </w:r>
    </w:p>
  </w:footnote>
  <w:footnote w:id="1">
    <w:p w:rsidR="00E50EC7" w:rsidRPr="00E50EC7" w:rsidRDefault="00E50EC7">
      <w:pPr>
        <w:pStyle w:val="FootnoteText"/>
        <w:rPr>
          <w:sz w:val="20"/>
          <w:szCs w:val="20"/>
          <w:lang w:val="en-US"/>
        </w:rPr>
      </w:pPr>
      <w:r w:rsidRPr="00E50EC7">
        <w:rPr>
          <w:rStyle w:val="FootnoteReference"/>
          <w:sz w:val="20"/>
          <w:szCs w:val="20"/>
        </w:rPr>
        <w:footnoteRef/>
      </w:r>
      <w:r w:rsidRPr="00E50EC7">
        <w:rPr>
          <w:sz w:val="20"/>
          <w:szCs w:val="20"/>
        </w:rPr>
        <w:t xml:space="preserve"> </w:t>
      </w:r>
      <w:r w:rsidRPr="00E50EC7">
        <w:rPr>
          <w:sz w:val="20"/>
          <w:szCs w:val="20"/>
          <w:lang w:val="en-US"/>
        </w:rPr>
        <w:t xml:space="preserve">Please note that EOs </w:t>
      </w:r>
      <w:r>
        <w:rPr>
          <w:sz w:val="20"/>
          <w:szCs w:val="20"/>
          <w:lang w:val="en-US"/>
        </w:rPr>
        <w:t xml:space="preserve">can </w:t>
      </w:r>
      <w:r w:rsidRPr="00E50EC7">
        <w:rPr>
          <w:sz w:val="20"/>
          <w:szCs w:val="20"/>
          <w:lang w:val="en-US"/>
        </w:rPr>
        <w:t xml:space="preserve">only be made permanent </w:t>
      </w:r>
      <w:r>
        <w:rPr>
          <w:sz w:val="20"/>
          <w:szCs w:val="20"/>
          <w:lang w:val="en-US"/>
        </w:rPr>
        <w:t>under Exception 10</w:t>
      </w:r>
      <w:r w:rsidRPr="00E50EC7">
        <w:rPr>
          <w:sz w:val="20"/>
          <w:szCs w:val="20"/>
          <w:lang w:val="en-US"/>
        </w:rPr>
        <w:t xml:space="preserve"> if they were initially appointed under Exception 2.</w:t>
      </w:r>
      <w:r>
        <w:rPr>
          <w:sz w:val="20"/>
          <w:szCs w:val="20"/>
          <w:lang w:val="en-US"/>
        </w:rPr>
        <w:t xml:space="preserve"> AAs and AOs may be made permanent </w:t>
      </w:r>
      <w:r w:rsidR="006741AF">
        <w:rPr>
          <w:sz w:val="20"/>
          <w:szCs w:val="20"/>
          <w:lang w:val="en-US"/>
        </w:rPr>
        <w:t xml:space="preserve">under Exception 10 if they were initially appointed under either Exception 1 or 2.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C7" w:rsidRDefault="00E50EC7">
    <w:pPr>
      <w:pStyle w:val="normal0"/>
      <w:rPr>
        <w:b/>
      </w:rPr>
    </w:pPr>
  </w:p>
  <w:p w:rsidR="00E50EC7" w:rsidRDefault="00E50EC7">
    <w:pPr>
      <w:pStyle w:val="normal0"/>
      <w:rPr>
        <w:b/>
      </w:rPr>
    </w:pPr>
    <w:r>
      <w:rPr>
        <w:noProof/>
        <w:lang w:val="en-US"/>
      </w:rPr>
      <w:drawing>
        <wp:anchor distT="57150" distB="57150" distL="57150" distR="57150" simplePos="0" relativeHeight="251658240" behindDoc="0" locked="0" layoutInCell="1" hidden="0" allowOverlap="1" wp14:anchorId="5B32321E" wp14:editId="2FB98FC7">
          <wp:simplePos x="0" y="0"/>
          <wp:positionH relativeFrom="margin">
            <wp:posOffset>4852670</wp:posOffset>
          </wp:positionH>
          <wp:positionV relativeFrom="paragraph">
            <wp:posOffset>316865</wp:posOffset>
          </wp:positionV>
          <wp:extent cx="1565275" cy="1212215"/>
          <wp:effectExtent l="0" t="0" r="9525" b="6985"/>
          <wp:wrapTopAndBottom distT="57150" distB="5715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5275" cy="1212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Exception 10 Request-Conversion to permanency of suitable candidates appointed under exception 1 and 2 </w:t>
    </w:r>
  </w:p>
  <w:p w:rsidR="00E50EC7" w:rsidRDefault="00E50EC7">
    <w:pPr>
      <w:pStyle w:val="normal0"/>
      <w:jc w:val="center"/>
    </w:pPr>
    <w:r>
      <w:rPr>
        <w:i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EF88AE" wp14:editId="255B769F">
              <wp:simplePos x="0" y="0"/>
              <wp:positionH relativeFrom="column">
                <wp:posOffset>-469900</wp:posOffset>
              </wp:positionH>
              <wp:positionV relativeFrom="paragraph">
                <wp:posOffset>49530</wp:posOffset>
              </wp:positionV>
              <wp:extent cx="5829300" cy="1625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62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0EC7" w:rsidRDefault="00E50EC7" w:rsidP="00AD0FE8">
                          <w:pPr>
                            <w:pStyle w:val="normal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This form should be used where departments have made appointments under Exception 1 at administrative and industrial grades (AA and AO)  and under Exception 2 at administrative and industrial grades (AA and AO) and at EO, and wish to make those individuals permanent after 12 months of the original appointment. </w:t>
                          </w:r>
                        </w:p>
                        <w:p w:rsidR="00E50EC7" w:rsidRDefault="00E50EC7" w:rsidP="00AD0FE8">
                          <w:pPr>
                            <w:pStyle w:val="normal0"/>
                            <w:rPr>
                              <w:i/>
                            </w:rPr>
                          </w:pPr>
                        </w:p>
                        <w:p w:rsidR="00E50EC7" w:rsidRDefault="00E50EC7" w:rsidP="00AD0FE8">
                          <w:pPr>
                            <w:pStyle w:val="normal0"/>
                            <w:rPr>
                              <w:i/>
                              <w:u w:val="single"/>
                            </w:rPr>
                          </w:pPr>
                          <w:r>
                            <w:rPr>
                              <w:i/>
                            </w:rPr>
                            <w:t xml:space="preserve">In both cases (i.e appointments made under Exception 1 or Exception 2) decisions on permanency must be on the basis of a fair and merit-based process, </w:t>
                          </w:r>
                          <w:r>
                            <w:rPr>
                              <w:i/>
                              <w:u w:val="single"/>
                            </w:rPr>
                            <w:t xml:space="preserve">approved in advance by the Commission. </w:t>
                          </w:r>
                        </w:p>
                        <w:p w:rsidR="00E50EC7" w:rsidRDefault="00E50E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6.95pt;margin-top:3.9pt;width:459pt;height:1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" filled="f" stroked="f">
              <v:textbox>
                <w:txbxContent>
                  <w:p w:rsidR="00E50EC7" w:rsidRDefault="00E50EC7" w:rsidP="00AD0FE8">
                    <w:pPr>
                      <w:pStyle w:val="normal0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This form should be used where departments have made appointments under Exception 1 at administrative and industrial grades (AA and AO)  and under Exception 2 at administrative and industrial grades (AA and AO) and at EO, and wish to make those individuals permanent after 12 months of the original appointment. </w:t>
                    </w:r>
                  </w:p>
                  <w:p w:rsidR="00E50EC7" w:rsidRDefault="00E50EC7" w:rsidP="00AD0FE8">
                    <w:pPr>
                      <w:pStyle w:val="normal0"/>
                      <w:rPr>
                        <w:i/>
                      </w:rPr>
                    </w:pPr>
                  </w:p>
                  <w:p w:rsidR="00E50EC7" w:rsidRDefault="00E50EC7" w:rsidP="00AD0FE8">
                    <w:pPr>
                      <w:pStyle w:val="normal0"/>
                      <w:rPr>
                        <w:i/>
                        <w:u w:val="single"/>
                      </w:rPr>
                    </w:pPr>
                    <w:r>
                      <w:rPr>
                        <w:i/>
                      </w:rPr>
                      <w:t xml:space="preserve">In both cases (i.e appointments made under Exception 1 or Exception 2) decisions on permanency must be on the basis of a fair and merit-based process, </w:t>
                    </w:r>
                    <w:r>
                      <w:rPr>
                        <w:i/>
                        <w:u w:val="single"/>
                      </w:rPr>
                      <w:t xml:space="preserve">approved in advance by the Commission. </w:t>
                    </w:r>
                  </w:p>
                  <w:p w:rsidR="00E50EC7" w:rsidRDefault="00E50EC7"/>
                </w:txbxContent>
              </v:textbox>
            </v:shape>
          </w:pict>
        </mc:Fallback>
      </mc:AlternateContent>
    </w:r>
  </w:p>
  <w:p w:rsidR="00E50EC7" w:rsidRDefault="00E50EC7">
    <w:pPr>
      <w:pStyle w:val="normal0"/>
      <w:rPr>
        <w:i/>
        <w:u w:val="single"/>
      </w:rPr>
    </w:pPr>
  </w:p>
  <w:p w:rsidR="00E50EC7" w:rsidRDefault="00E50EC7">
    <w:pPr>
      <w:pStyle w:val="normal0"/>
    </w:pPr>
  </w:p>
  <w:p w:rsidR="00E50EC7" w:rsidRDefault="00E50EC7">
    <w:pPr>
      <w:pStyle w:val="normal0"/>
    </w:pPr>
  </w:p>
  <w:p w:rsidR="00E50EC7" w:rsidRDefault="00E50EC7">
    <w:pPr>
      <w:pStyle w:val="normal0"/>
    </w:pPr>
  </w:p>
  <w:p w:rsidR="00E50EC7" w:rsidRDefault="00E50EC7">
    <w:pPr>
      <w:pStyle w:val="normal0"/>
    </w:pPr>
  </w:p>
  <w:p w:rsidR="00E50EC7" w:rsidRDefault="00E50EC7">
    <w:pPr>
      <w:pStyle w:val="normal0"/>
    </w:pPr>
  </w:p>
  <w:p w:rsidR="00E50EC7" w:rsidRDefault="00E50EC7">
    <w:pPr>
      <w:pStyle w:val="normal0"/>
    </w:pPr>
  </w:p>
  <w:p w:rsidR="00E50EC7" w:rsidRDefault="00E50EC7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D13"/>
    <w:multiLevelType w:val="multilevel"/>
    <w:tmpl w:val="475604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E6365B0"/>
    <w:multiLevelType w:val="multilevel"/>
    <w:tmpl w:val="475604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5130F99"/>
    <w:multiLevelType w:val="multilevel"/>
    <w:tmpl w:val="45FC595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BFB38EC"/>
    <w:multiLevelType w:val="multilevel"/>
    <w:tmpl w:val="D76ABD26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8191ED3"/>
    <w:multiLevelType w:val="multilevel"/>
    <w:tmpl w:val="6B146C18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562B"/>
    <w:rsid w:val="00120DF7"/>
    <w:rsid w:val="0015562B"/>
    <w:rsid w:val="00445F23"/>
    <w:rsid w:val="006741AF"/>
    <w:rsid w:val="00A666F0"/>
    <w:rsid w:val="00AD0FE8"/>
    <w:rsid w:val="00CB233E"/>
    <w:rsid w:val="00E50EC7"/>
    <w:rsid w:val="00E7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0FE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FE8"/>
  </w:style>
  <w:style w:type="paragraph" w:styleId="Footer">
    <w:name w:val="footer"/>
    <w:basedOn w:val="Normal"/>
    <w:link w:val="FooterChar"/>
    <w:uiPriority w:val="99"/>
    <w:unhideWhenUsed/>
    <w:rsid w:val="00AD0FE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FE8"/>
  </w:style>
  <w:style w:type="paragraph" w:styleId="FootnoteText">
    <w:name w:val="footnote text"/>
    <w:basedOn w:val="Normal"/>
    <w:link w:val="FootnoteTextChar"/>
    <w:uiPriority w:val="99"/>
    <w:unhideWhenUsed/>
    <w:rsid w:val="00E50EC7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0EC7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50EC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0FE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FE8"/>
  </w:style>
  <w:style w:type="paragraph" w:styleId="Footer">
    <w:name w:val="footer"/>
    <w:basedOn w:val="Normal"/>
    <w:link w:val="FooterChar"/>
    <w:uiPriority w:val="99"/>
    <w:unhideWhenUsed/>
    <w:rsid w:val="00AD0FE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FE8"/>
  </w:style>
  <w:style w:type="paragraph" w:styleId="FootnoteText">
    <w:name w:val="footnote text"/>
    <w:basedOn w:val="Normal"/>
    <w:link w:val="FootnoteTextChar"/>
    <w:uiPriority w:val="99"/>
    <w:unhideWhenUsed/>
    <w:rsid w:val="00E50EC7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0EC7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50E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csc.gov.u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lservicecommission.independent.gov.uk/privacy-and-cookies-poli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878</Characters>
  <Application>Microsoft Macintosh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2019-03-18T14:05:00Z</dcterms:created>
  <dcterms:modified xsi:type="dcterms:W3CDTF">2019-03-18T14:05:00Z</dcterms:modified>
</cp:coreProperties>
</file>