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Request to approve the process of </w:t>
      </w:r>
      <w:r w:rsidDel="00000000" w:rsidR="00000000" w:rsidRPr="00000000">
        <w:rPr>
          <w:b w:val="1"/>
          <w:u w:val="single"/>
          <w:rtl w:val="0"/>
        </w:rPr>
        <w:t xml:space="preserve">Exception 10: Conversion to permanency</w:t>
      </w:r>
      <w:r w:rsidDel="00000000" w:rsidR="00000000" w:rsidRPr="00000000">
        <w:rPr>
          <w:b w:val="1"/>
          <w:rtl w:val="0"/>
        </w:rPr>
        <w:t xml:space="preserve"> of suitable candidates appointed under </w:t>
      </w:r>
      <w:r w:rsidDel="00000000" w:rsidR="00000000" w:rsidRPr="00000000">
        <w:rPr>
          <w:b w:val="1"/>
          <w:rtl w:val="0"/>
        </w:rPr>
        <w:t xml:space="preserve">Exception 1</w:t>
      </w:r>
      <w:r w:rsidDel="00000000" w:rsidR="00000000" w:rsidRPr="00000000">
        <w:rPr>
          <w:b w:val="1"/>
          <w:rtl w:val="0"/>
        </w:rPr>
        <w:t xml:space="preserve">.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spacing w:after="200" w:lineRule="auto"/>
        <w:jc w:val="center"/>
        <w:rPr/>
      </w:pPr>
      <w:r w:rsidDel="00000000" w:rsidR="00000000" w:rsidRPr="00000000">
        <w:rPr>
          <w:b w:val="1"/>
          <w:rtl w:val="0"/>
        </w:rPr>
        <w:t xml:space="preserve">Once the request form has been through all internal processes, please send the completed form to </w:t>
      </w:r>
      <w:hyperlink r:id="rId8">
        <w:r w:rsidDel="00000000" w:rsidR="00000000" w:rsidRPr="00000000">
          <w:rPr>
            <w:b w:val="1"/>
            <w:color w:val="1155cc"/>
            <w:u w:val="single"/>
            <w:rtl w:val="0"/>
          </w:rPr>
          <w:t xml:space="preserve">info@csc.gov.uk</w:t>
        </w:r>
      </w:hyperlink>
      <w:r w:rsidDel="00000000" w:rsidR="00000000" w:rsidRPr="00000000">
        <w:rPr>
          <w:b w:val="1"/>
          <w:rtl w:val="0"/>
        </w:rPr>
        <w:t xml:space="preserve">.</w:t>
      </w:r>
      <w:r w:rsidDel="00000000" w:rsidR="00000000" w:rsidRPr="00000000">
        <w:rPr>
          <w:rtl w:val="0"/>
        </w:rPr>
      </w:r>
    </w:p>
    <w:sdt>
      <w:sdtPr>
        <w:lock w:val="contentLocked"/>
        <w:tag w:val="goog_rdk_0"/>
      </w:sdtPr>
      <w:sdtContent>
        <w:tbl>
          <w:tblPr>
            <w:tblStyle w:val="Table1"/>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4">
                <w:pPr>
                  <w:jc w:val="center"/>
                  <w:rPr/>
                </w:pPr>
                <w:r w:rsidDel="00000000" w:rsidR="00000000" w:rsidRPr="00000000">
                  <w:rPr>
                    <w:rtl w:val="0"/>
                  </w:rPr>
                  <w:t xml:space="preserve">This form should be used by departments who have made appointments under Exception 1 at AA or AO grades and wish to make those individuals permanent after 12 months of the original appointment. </w:t>
                </w:r>
              </w:p>
              <w:p w:rsidR="00000000" w:rsidDel="00000000" w:rsidP="00000000" w:rsidRDefault="00000000" w:rsidRPr="00000000" w14:paraId="00000005">
                <w:pPr>
                  <w:widowControl w:val="0"/>
                  <w:spacing w:after="240" w:before="240" w:lineRule="auto"/>
                  <w:jc w:val="center"/>
                  <w:rPr/>
                </w:pPr>
                <w:r w:rsidDel="00000000" w:rsidR="00000000" w:rsidRPr="00000000">
                  <w:rPr>
                    <w:rtl w:val="0"/>
                  </w:rPr>
                  <w:t xml:space="preserve">You can expect to hear from us with our decision in 5 working days from the date </w:t>
                </w:r>
                <w:r w:rsidDel="00000000" w:rsidR="00000000" w:rsidRPr="00000000">
                  <w:rPr>
                    <w:b w:val="1"/>
                    <w:u w:val="single"/>
                    <w:rtl w:val="0"/>
                  </w:rPr>
                  <w:t xml:space="preserve">all</w:t>
                </w:r>
                <w:r w:rsidDel="00000000" w:rsidR="00000000" w:rsidRPr="00000000">
                  <w:rPr>
                    <w:b w:val="1"/>
                    <w:rtl w:val="0"/>
                  </w:rPr>
                  <w:t xml:space="preserve"> </w:t>
                </w:r>
                <w:r w:rsidDel="00000000" w:rsidR="00000000" w:rsidRPr="00000000">
                  <w:rPr>
                    <w:rtl w:val="0"/>
                  </w:rPr>
                  <w:t xml:space="preserve">information is received. </w:t>
                </w:r>
              </w:p>
              <w:p w:rsidR="00000000" w:rsidDel="00000000" w:rsidP="00000000" w:rsidRDefault="00000000" w:rsidRPr="00000000" w14:paraId="00000006">
                <w:pPr>
                  <w:jc w:val="center"/>
                  <w:rPr/>
                </w:pPr>
                <w:r w:rsidDel="00000000" w:rsidR="00000000" w:rsidRPr="00000000">
                  <w:rPr>
                    <w:rtl w:val="0"/>
                  </w:rPr>
                  <w:t xml:space="preserve">If converting individuals appointed via an accredited Exception 2 Going Forward into Employment life chance recruitment pathway</w:t>
                </w:r>
                <w:r w:rsidDel="00000000" w:rsidR="00000000" w:rsidRPr="00000000">
                  <w:rPr>
                    <w:vertAlign w:val="superscript"/>
                  </w:rPr>
                  <w:footnoteReference w:customMarkFollows="0" w:id="0"/>
                </w:r>
                <w:r w:rsidDel="00000000" w:rsidR="00000000" w:rsidRPr="00000000">
                  <w:rPr>
                    <w:rtl w:val="0"/>
                  </w:rPr>
                  <w:t xml:space="preserve"> in line with the scheme’s pre-approved process, further permission is not required. For any specific queries about converting individuals appointed under Exception 2, please contact the Going Forward into Employment team</w:t>
                </w:r>
                <w:r w:rsidDel="00000000" w:rsidR="00000000" w:rsidRPr="00000000">
                  <w:rPr>
                    <w:rtl w:val="0"/>
                  </w:rPr>
                  <w:t xml:space="preserve"> (</w:t>
                </w:r>
                <w:hyperlink r:id="rId9">
                  <w:r w:rsidDel="00000000" w:rsidR="00000000" w:rsidRPr="00000000">
                    <w:rPr>
                      <w:color w:val="1155cc"/>
                      <w:u w:val="single"/>
                      <w:rtl w:val="0"/>
                    </w:rPr>
                    <w:t xml:space="preserve">GFIE@cabinetoffice.gov.uk</w:t>
                  </w:r>
                </w:hyperlink>
                <w:r w:rsidDel="00000000" w:rsidR="00000000" w:rsidRPr="00000000">
                  <w:rPr>
                    <w:rtl w:val="0"/>
                  </w:rPr>
                  <w:t xml:space="preserve">)</w:t>
                </w:r>
                <w:r w:rsidDel="00000000" w:rsidR="00000000" w:rsidRPr="00000000">
                  <w:rPr>
                    <w:rtl w:val="0"/>
                  </w:rPr>
                  <w:t xml:space="preserve">. </w:t>
                </w:r>
              </w:p>
            </w:tc>
          </w:tr>
        </w:tbl>
      </w:sdtContent>
    </w:sdt>
    <w:p w:rsidR="00000000" w:rsidDel="00000000" w:rsidP="00000000" w:rsidRDefault="00000000" w:rsidRPr="00000000" w14:paraId="00000007">
      <w:pPr>
        <w:numPr>
          <w:ilvl w:val="0"/>
          <w:numId w:val="1"/>
        </w:numPr>
        <w:spacing w:before="200" w:line="360" w:lineRule="auto"/>
        <w:ind w:left="360" w:hanging="360"/>
        <w:rPr/>
      </w:pPr>
      <w:r w:rsidDel="00000000" w:rsidR="00000000" w:rsidRPr="00000000">
        <w:rPr>
          <w:rtl w:val="0"/>
        </w:rPr>
        <w:t xml:space="preserve">Department making the request (civil service department/organisation)</w:t>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360" w:lineRule="auto"/>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360" w:right="0" w:hanging="360"/>
        <w:jc w:val="left"/>
        <w:rPr>
          <w:u w:val="none"/>
        </w:rPr>
      </w:pPr>
      <w:r w:rsidDel="00000000" w:rsidR="00000000" w:rsidRPr="00000000">
        <w:rPr>
          <w:rtl w:val="0"/>
        </w:rPr>
        <w:t xml:space="preserve">Number of individuals you wish to convert to permanency: </w:t>
      </w:r>
      <w:r w:rsidDel="00000000" w:rsidR="00000000" w:rsidRPr="00000000">
        <w:rPr>
          <w:rtl w:val="0"/>
        </w:rPr>
      </w:r>
    </w:p>
    <w:sdt>
      <w:sdtPr>
        <w:lock w:val="contentLocked"/>
        <w:tag w:val="goog_rdk_1"/>
      </w:sdtPr>
      <w:sdtContent>
        <w:tbl>
          <w:tblPr>
            <w:tblStyle w:val="Table3"/>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0B">
      <w:pPr>
        <w:numPr>
          <w:ilvl w:val="0"/>
          <w:numId w:val="1"/>
        </w:numPr>
        <w:spacing w:before="200" w:line="360" w:lineRule="auto"/>
        <w:ind w:left="360" w:hanging="360"/>
        <w:rPr/>
      </w:pPr>
      <w:r w:rsidDel="00000000" w:rsidR="00000000" w:rsidRPr="00000000">
        <w:rPr>
          <w:rtl w:val="0"/>
        </w:rPr>
        <w:t xml:space="preserve">Role title(s) of the individual(s) </w:t>
      </w:r>
    </w:p>
    <w:sdt>
      <w:sdtPr>
        <w:lock w:val="contentLocked"/>
        <w:tag w:val="goog_rdk_2"/>
      </w:sdtPr>
      <w:sdtContent>
        <w:tbl>
          <w:tblPr>
            <w:tblStyle w:val="Table4"/>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rHeight w:val="4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360" w:lineRule="auto"/>
                  <w:rPr/>
                </w:pPr>
                <w:r w:rsidDel="00000000" w:rsidR="00000000" w:rsidRPr="00000000">
                  <w:rPr>
                    <w:rtl w:val="0"/>
                  </w:rPr>
                </w:r>
              </w:p>
            </w:tc>
          </w:tr>
        </w:tbl>
      </w:sdtContent>
    </w:sdt>
    <w:p w:rsidR="00000000" w:rsidDel="00000000" w:rsidP="00000000" w:rsidRDefault="00000000" w:rsidRPr="00000000" w14:paraId="0000000D">
      <w:pPr>
        <w:numPr>
          <w:ilvl w:val="0"/>
          <w:numId w:val="1"/>
        </w:numPr>
        <w:spacing w:before="200" w:line="360" w:lineRule="auto"/>
        <w:ind w:left="360" w:hanging="360"/>
        <w:rPr/>
      </w:pPr>
      <w:r w:rsidDel="00000000" w:rsidR="00000000" w:rsidRPr="00000000">
        <w:rPr>
          <w:rtl w:val="0"/>
        </w:rPr>
        <w:t xml:space="preserve">Grade(s) of the individuals (civil service grade </w:t>
      </w:r>
      <w:r w:rsidDel="00000000" w:rsidR="00000000" w:rsidRPr="00000000">
        <w:rPr>
          <w:u w:val="single"/>
          <w:rtl w:val="0"/>
        </w:rPr>
        <w:t xml:space="preserve">only</w:t>
      </w:r>
      <w:r w:rsidDel="00000000" w:rsidR="00000000" w:rsidRPr="00000000">
        <w:rPr>
          <w:rtl w:val="0"/>
        </w:rPr>
        <w:t xml:space="preserve"> - see below)</w:t>
      </w:r>
      <w:r w:rsidDel="00000000" w:rsidR="00000000" w:rsidRPr="00000000">
        <w:rPr>
          <w:vertAlign w:val="superscript"/>
        </w:rPr>
        <w:footnoteReference w:customMarkFollows="0" w:id="1"/>
      </w:r>
      <w:r w:rsidDel="00000000" w:rsidR="00000000" w:rsidRPr="00000000">
        <w:rPr>
          <w:rtl w:val="0"/>
        </w:rPr>
        <w:t xml:space="preserve">:</w:t>
      </w:r>
    </w:p>
    <w:sdt>
      <w:sdtPr>
        <w:lock w:val="contentLocked"/>
        <w:tag w:val="goog_rdk_3"/>
      </w:sdtPr>
      <w:sdtContent>
        <w:tbl>
          <w:tblPr>
            <w:tblStyle w:val="Table5"/>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360" w:lineRule="auto"/>
                  <w:rPr/>
                </w:pPr>
                <w:r w:rsidDel="00000000" w:rsidR="00000000" w:rsidRPr="00000000">
                  <w:rPr>
                    <w:rtl w:val="0"/>
                  </w:rPr>
                </w:r>
              </w:p>
              <w:p w:rsidR="00000000" w:rsidDel="00000000" w:rsidP="00000000" w:rsidRDefault="00000000" w:rsidRPr="00000000" w14:paraId="0000000F">
                <w:pPr>
                  <w:widowControl w:val="0"/>
                  <w:spacing w:line="240" w:lineRule="auto"/>
                  <w:rPr>
                    <w:sz w:val="6"/>
                    <w:szCs w:val="6"/>
                  </w:rPr>
                </w:pPr>
                <w:r w:rsidDel="00000000" w:rsidR="00000000" w:rsidRPr="00000000">
                  <w:rPr>
                    <w:rtl w:val="0"/>
                  </w:rPr>
                </w:r>
              </w:p>
              <w:p w:rsidR="00000000" w:rsidDel="00000000" w:rsidP="00000000" w:rsidRDefault="00000000" w:rsidRPr="00000000" w14:paraId="00000010">
                <w:pPr>
                  <w:widowControl w:val="0"/>
                  <w:spacing w:line="240" w:lineRule="auto"/>
                  <w:jc w:val="center"/>
                  <w:rPr/>
                </w:pPr>
                <w:r w:rsidDel="00000000" w:rsidR="00000000" w:rsidRPr="00000000">
                  <w:rPr>
                    <w:i w:val="1"/>
                    <w:sz w:val="20"/>
                    <w:szCs w:val="20"/>
                    <w:rtl w:val="0"/>
                  </w:rPr>
                  <w:t xml:space="preserve">(AA or AO </w:t>
                </w:r>
                <w:r w:rsidDel="00000000" w:rsidR="00000000" w:rsidRPr="00000000">
                  <w:rPr>
                    <w:i w:val="1"/>
                    <w:sz w:val="20"/>
                    <w:szCs w:val="20"/>
                    <w:u w:val="single"/>
                    <w:rtl w:val="0"/>
                  </w:rPr>
                  <w:t xml:space="preserve">only</w:t>
                </w:r>
                <w:r w:rsidDel="00000000" w:rsidR="00000000" w:rsidRPr="00000000">
                  <w:rPr>
                    <w:i w:val="1"/>
                    <w:sz w:val="20"/>
                    <w:szCs w:val="20"/>
                    <w:rtl w:val="0"/>
                  </w:rPr>
                  <w:t xml:space="preserve">)</w:t>
                </w:r>
                <w:r w:rsidDel="00000000" w:rsidR="00000000" w:rsidRPr="00000000">
                  <w:rPr>
                    <w:i w:val="1"/>
                    <w:sz w:val="20"/>
                    <w:szCs w:val="20"/>
                    <w:vertAlign w:val="superscript"/>
                  </w:rPr>
                  <w:footnoteReference w:customMarkFollows="0" w:id="2"/>
                </w:r>
                <w:r w:rsidDel="00000000" w:rsidR="00000000" w:rsidRPr="00000000">
                  <w:rPr>
                    <w:rtl w:val="0"/>
                  </w:rPr>
                </w:r>
              </w:p>
            </w:tc>
          </w:tr>
        </w:tbl>
      </w:sdtContent>
    </w:sdt>
    <w:p w:rsidR="00000000" w:rsidDel="00000000" w:rsidP="00000000" w:rsidRDefault="00000000" w:rsidRPr="00000000" w14:paraId="00000011">
      <w:pPr>
        <w:numPr>
          <w:ilvl w:val="0"/>
          <w:numId w:val="1"/>
        </w:numPr>
        <w:spacing w:before="200" w:line="360" w:lineRule="auto"/>
        <w:ind w:left="360" w:hanging="360"/>
        <w:rPr/>
      </w:pPr>
      <w:r w:rsidDel="00000000" w:rsidR="00000000" w:rsidRPr="00000000">
        <w:rPr>
          <w:rtl w:val="0"/>
        </w:rPr>
        <w:t xml:space="preserve">Please confirm that the individual(s) was(/were) appointed under Exception 1 (temporary appointments)</w:t>
      </w:r>
      <w:r w:rsidDel="00000000" w:rsidR="00000000" w:rsidRPr="00000000">
        <w:rPr>
          <w:vertAlign w:val="superscript"/>
        </w:rPr>
        <w:footnoteReference w:customMarkFollows="0" w:id="3"/>
      </w:r>
      <w:r w:rsidDel="00000000" w:rsidR="00000000" w:rsidRPr="00000000">
        <w:rPr>
          <w:rtl w:val="0"/>
        </w:rPr>
        <w:t xml:space="preserve"> (Yes / No)</w:t>
      </w:r>
    </w:p>
    <w:sdt>
      <w:sdtPr>
        <w:lock w:val="contentLocked"/>
        <w:tag w:val="goog_rdk_4"/>
      </w:sdtPr>
      <w:sdtContent>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13">
      <w:pPr>
        <w:widowControl w:val="0"/>
        <w:numPr>
          <w:ilvl w:val="0"/>
          <w:numId w:val="1"/>
        </w:numPr>
        <w:spacing w:before="200" w:line="360" w:lineRule="auto"/>
        <w:ind w:left="360" w:hanging="360"/>
        <w:rPr/>
      </w:pPr>
      <w:r w:rsidDel="00000000" w:rsidR="00000000" w:rsidRPr="00000000">
        <w:rPr>
          <w:rtl w:val="0"/>
        </w:rPr>
        <w:t xml:space="preserve">Original start date of appointment(s)</w:t>
      </w:r>
    </w:p>
    <w:sdt>
      <w:sdtPr>
        <w:lock w:val="contentLocked"/>
        <w:tag w:val="goog_rdk_5"/>
      </w:sdtPr>
      <w:sdtContent>
        <w:tbl>
          <w:tblPr>
            <w:tblStyle w:val="Table7"/>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360" w:lineRule="auto"/>
                  <w:rPr/>
                </w:pPr>
                <w:r w:rsidDel="00000000" w:rsidR="00000000" w:rsidRPr="00000000">
                  <w:rPr>
                    <w:rtl w:val="0"/>
                  </w:rPr>
                </w:r>
              </w:p>
            </w:tc>
          </w:tr>
        </w:tbl>
      </w:sdtContent>
    </w:sdt>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t>
      </w:r>
      <w:r w:rsidDel="00000000" w:rsidR="00000000" w:rsidRPr="00000000">
        <w:rPr>
          <w:rtl w:val="0"/>
        </w:rPr>
        <w:t xml:space="preserve">were they identified and selected for the original role?</w:t>
      </w:r>
    </w:p>
    <w:tbl>
      <w:tblPr>
        <w:tblStyle w:val="Table8"/>
        <w:tblW w:w="97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rHeight w:val="11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the fair and merit-based process you intend to apply in order to convert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permanency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widowControl w:val="0"/>
        <w:spacing w:after="200" w:line="240" w:lineRule="auto"/>
        <w:ind w:left="0" w:firstLine="0"/>
        <w:rPr>
          <w:sz w:val="20"/>
          <w:szCs w:val="20"/>
        </w:rPr>
      </w:pPr>
      <w:r w:rsidDel="00000000" w:rsidR="00000000" w:rsidRPr="00000000">
        <w:rPr>
          <w:i w:val="1"/>
          <w:sz w:val="20"/>
          <w:szCs w:val="20"/>
          <w:rtl w:val="0"/>
        </w:rPr>
        <w:t xml:space="preserve">There are a number of different</w:t>
      </w:r>
      <w:r w:rsidDel="00000000" w:rsidR="00000000" w:rsidRPr="00000000">
        <w:rPr>
          <w:b w:val="1"/>
          <w:i w:val="1"/>
          <w:sz w:val="20"/>
          <w:szCs w:val="20"/>
          <w:rtl w:val="0"/>
        </w:rPr>
        <w:t xml:space="preserve"> </w:t>
      </w:r>
      <w:r w:rsidDel="00000000" w:rsidR="00000000" w:rsidRPr="00000000">
        <w:rPr>
          <w:i w:val="1"/>
          <w:sz w:val="20"/>
          <w:szCs w:val="20"/>
          <w:rtl w:val="0"/>
        </w:rPr>
        <w:t xml:space="preserve">possible processes to apply in order to convert to permanency. For example, you may allow an individual to compete in an internal competition or it could be on the basis of consideration of performance appraisal assessments. There may be other valid approaches. The Commission cannot advise on which method to use, this is a decision for the department. </w:t>
      </w:r>
      <w:r w:rsidDel="00000000" w:rsidR="00000000" w:rsidRPr="00000000">
        <w:rPr>
          <w:rtl w:val="0"/>
        </w:rPr>
      </w:r>
    </w:p>
    <w:tbl>
      <w:tblPr>
        <w:tblStyle w:val="Table9"/>
        <w:tblW w:w="973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5">
      <w:pPr>
        <w:numPr>
          <w:ilvl w:val="0"/>
          <w:numId w:val="1"/>
        </w:numPr>
        <w:spacing w:after="0" w:before="200" w:line="360" w:lineRule="auto"/>
        <w:ind w:left="360"/>
      </w:pPr>
      <w:r w:rsidDel="00000000" w:rsidR="00000000" w:rsidRPr="00000000">
        <w:rPr>
          <w:rtl w:val="0"/>
        </w:rPr>
      </w:r>
    </w:p>
    <w:p w:rsidR="00000000" w:rsidDel="00000000" w:rsidP="00000000" w:rsidRDefault="00000000" w:rsidRPr="00000000" w14:paraId="00000026">
      <w:pPr>
        <w:numPr>
          <w:ilvl w:val="1"/>
          <w:numId w:val="1"/>
        </w:numPr>
        <w:spacing w:line="360" w:lineRule="auto"/>
        <w:ind w:left="1080" w:hanging="360"/>
      </w:pPr>
      <w:r w:rsidDel="00000000" w:rsidR="00000000" w:rsidRPr="00000000">
        <w:rPr>
          <w:rtl w:val="0"/>
        </w:rPr>
        <w:t xml:space="preserve">I can confirm that the following has been approved by a senior official; </w:t>
      </w:r>
    </w:p>
    <w:p w:rsidR="00000000" w:rsidDel="00000000" w:rsidP="00000000" w:rsidRDefault="00000000" w:rsidRPr="00000000" w14:paraId="00000027">
      <w:pPr>
        <w:spacing w:line="360" w:lineRule="auto"/>
        <w:ind w:left="1080" w:firstLine="0"/>
        <w:jc w:val="center"/>
        <w:rPr/>
      </w:pPr>
      <w:r w:rsidDel="00000000" w:rsidR="00000000" w:rsidRPr="00000000">
        <w:rPr>
          <w:rtl w:val="0"/>
        </w:rPr>
        <w:t xml:space="preserve">(Yes / No </w:t>
      </w:r>
      <w:r w:rsidDel="00000000" w:rsidR="00000000" w:rsidRPr="00000000">
        <w:rPr>
          <w:i w:val="1"/>
          <w:rtl w:val="0"/>
        </w:rPr>
        <w:t xml:space="preserve">- If no, please explain</w:t>
      </w:r>
      <w:r w:rsidDel="00000000" w:rsidR="00000000" w:rsidRPr="00000000">
        <w:rPr>
          <w:rtl w:val="0"/>
        </w:rPr>
        <w:t xml:space="preserve">)</w:t>
      </w:r>
    </w:p>
    <w:p w:rsidR="00000000" w:rsidDel="00000000" w:rsidP="00000000" w:rsidRDefault="00000000" w:rsidRPr="00000000" w14:paraId="00000028">
      <w:pPr>
        <w:numPr>
          <w:ilvl w:val="2"/>
          <w:numId w:val="1"/>
        </w:numPr>
        <w:spacing w:line="360" w:lineRule="auto"/>
        <w:ind w:left="1800" w:hanging="360"/>
      </w:pPr>
      <w:r w:rsidDel="00000000" w:rsidR="00000000" w:rsidRPr="00000000">
        <w:rPr>
          <w:rtl w:val="0"/>
        </w:rPr>
        <w:t xml:space="preserve">the conversion to permanency; and </w:t>
      </w:r>
    </w:p>
    <w:p w:rsidR="00000000" w:rsidDel="00000000" w:rsidP="00000000" w:rsidRDefault="00000000" w:rsidRPr="00000000" w14:paraId="00000029">
      <w:pPr>
        <w:numPr>
          <w:ilvl w:val="2"/>
          <w:numId w:val="1"/>
        </w:numPr>
        <w:spacing w:line="360" w:lineRule="auto"/>
        <w:ind w:left="1800" w:hanging="360"/>
      </w:pPr>
      <w:r w:rsidDel="00000000" w:rsidR="00000000" w:rsidRPr="00000000">
        <w:rPr>
          <w:rtl w:val="0"/>
        </w:rPr>
        <w:t xml:space="preserve">all information submitted in this form.</w:t>
      </w:r>
    </w:p>
    <w:p w:rsidR="00000000" w:rsidDel="00000000" w:rsidP="00000000" w:rsidRDefault="00000000" w:rsidRPr="00000000" w14:paraId="0000002A">
      <w:pPr>
        <w:numPr>
          <w:ilvl w:val="1"/>
          <w:numId w:val="1"/>
        </w:numPr>
        <w:spacing w:after="200" w:line="360" w:lineRule="auto"/>
        <w:ind w:left="1080" w:hanging="360"/>
      </w:pPr>
      <w:r w:rsidDel="00000000" w:rsidR="00000000" w:rsidRPr="00000000">
        <w:rPr>
          <w:rtl w:val="0"/>
        </w:rPr>
        <w:t xml:space="preserve">Please provide the name and grade of the senior official signing-off the exception appointment.</w:t>
      </w:r>
      <w:r w:rsidDel="00000000" w:rsidR="00000000" w:rsidRPr="00000000">
        <w:rPr>
          <w:i w:val="1"/>
          <w:rtl w:val="0"/>
        </w:rPr>
        <w:t xml:space="preserve"> </w:t>
      </w:r>
    </w:p>
    <w:p w:rsidR="00000000" w:rsidDel="00000000" w:rsidP="00000000" w:rsidRDefault="00000000" w:rsidRPr="00000000" w14:paraId="0000002B">
      <w:pPr>
        <w:spacing w:after="200" w:line="360" w:lineRule="auto"/>
        <w:rPr>
          <w:i w:val="1"/>
          <w:sz w:val="20"/>
          <w:szCs w:val="20"/>
        </w:rPr>
      </w:pPr>
      <w:r w:rsidDel="00000000" w:rsidR="00000000" w:rsidRPr="00000000">
        <w:rPr>
          <w:i w:val="1"/>
          <w:sz w:val="20"/>
          <w:szCs w:val="20"/>
          <w:rtl w:val="0"/>
        </w:rPr>
        <w:t xml:space="preserve">When the grade for the proposed exception appointment is at SCS PB2 and above, the Commission stipulates that the senior official must be the Permanent Secretary or equivalent. At grade SCS1 and below, including where the </w:t>
      </w:r>
      <w:r w:rsidDel="00000000" w:rsidR="00000000" w:rsidRPr="00000000">
        <w:rPr>
          <w:b w:val="1"/>
          <w:i w:val="1"/>
          <w:sz w:val="20"/>
          <w:szCs w:val="20"/>
          <w:rtl w:val="0"/>
        </w:rPr>
        <w:t xml:space="preserve">salary </w:t>
      </w:r>
      <w:r w:rsidDel="00000000" w:rsidR="00000000" w:rsidRPr="00000000">
        <w:rPr>
          <w:i w:val="1"/>
          <w:sz w:val="20"/>
          <w:szCs w:val="20"/>
          <w:rtl w:val="0"/>
        </w:rPr>
        <w:t xml:space="preserve">is at or above the SCS PB2, the level of senior official needed for sign off is at the department’s discretion.  </w:t>
      </w:r>
    </w:p>
    <w:sdt>
      <w:sdtPr>
        <w:lock w:val="contentLocked"/>
        <w:tag w:val="goog_rdk_6"/>
      </w:sdtPr>
      <w:sdtContent>
        <w:tbl>
          <w:tblPr>
            <w:tblStyle w:val="Table10"/>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numPr>
                    <w:ilvl w:val="0"/>
                    <w:numId w:val="2"/>
                  </w:numPr>
                  <w:ind w:left="720" w:hanging="360"/>
                </w:pPr>
                <w:r w:rsidDel="00000000" w:rsidR="00000000" w:rsidRPr="00000000">
                  <w:rPr>
                    <w:rtl w:val="0"/>
                  </w:rPr>
                  <w:t xml:space="preserve"> </w:t>
                </w:r>
              </w:p>
              <w:p w:rsidR="00000000" w:rsidDel="00000000" w:rsidP="00000000" w:rsidRDefault="00000000" w:rsidRPr="00000000" w14:paraId="0000002D">
                <w:pPr>
                  <w:numPr>
                    <w:ilvl w:val="0"/>
                    <w:numId w:val="2"/>
                  </w:numPr>
                  <w:ind w:left="720" w:hanging="360"/>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c>
          </w:tr>
        </w:tbl>
      </w:sdtContent>
    </w:sdt>
    <w:p w:rsidR="00000000" w:rsidDel="00000000" w:rsidP="00000000" w:rsidRDefault="00000000" w:rsidRPr="00000000" w14:paraId="00000030">
      <w:pPr>
        <w:spacing w:before="200" w:lineRule="auto"/>
        <w:ind w:right="-466.062992125984"/>
        <w:jc w:val="center"/>
        <w:rPr/>
      </w:pPr>
      <w:r w:rsidDel="00000000" w:rsidR="00000000" w:rsidRPr="00000000">
        <w:rPr>
          <w:b w:val="1"/>
          <w:rtl w:val="0"/>
        </w:rPr>
        <w:t xml:space="preserve">Once all requested information has been completed and the request form has been through all internal processes, please send the completed form to </w:t>
      </w:r>
      <w:hyperlink r:id="rId10">
        <w:r w:rsidDel="00000000" w:rsidR="00000000" w:rsidRPr="00000000">
          <w:rPr>
            <w:b w:val="1"/>
            <w:color w:val="1155cc"/>
            <w:u w:val="single"/>
            <w:rtl w:val="0"/>
          </w:rPr>
          <w:t xml:space="preserve">info@csc.gov.uk</w:t>
        </w:r>
      </w:hyperlink>
      <w:r w:rsidDel="00000000" w:rsidR="00000000" w:rsidRPr="00000000">
        <w:rPr>
          <w:b w:val="1"/>
          <w:rtl w:val="0"/>
        </w:rPr>
        <w:t xml:space="preserve">.</w:t>
      </w:r>
      <w:r w:rsidDel="00000000" w:rsidR="00000000" w:rsidRPr="00000000">
        <w:rPr>
          <w:rtl w:val="0"/>
        </w:rPr>
      </w:r>
    </w:p>
    <w:sectPr>
      <w:headerReference r:id="rId11" w:type="default"/>
      <w:headerReference r:id="rId12" w:type="first"/>
      <w:footerReference r:id="rId13" w:type="default"/>
      <w:footerReference r:id="rId14" w:type="first"/>
      <w:pgSz w:h="16834" w:w="11909" w:orient="portrait"/>
      <w:pgMar w:bottom="1418" w:top="1418" w:left="1418" w:right="141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31">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Where the prospective role does not follow CS grades, please provide the equivalent CS grade</w:t>
      </w:r>
      <w:r w:rsidDel="00000000" w:rsidR="00000000" w:rsidRPr="00000000">
        <w:rPr>
          <w:rtl w:val="0"/>
        </w:rPr>
      </w:r>
    </w:p>
  </w:footnote>
  <w:footnote w:id="2">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note that EOs can only be made permanent under Exception 10 if they were initially appointed under Exception 2. AAs and AOs may be made permanent under Exception 10 if they were initially appointed under either Exception 1 or 2. </w:t>
      </w:r>
    </w:p>
  </w:footnote>
  <w:footnote w:id="3">
    <w:p w:rsidR="00000000" w:rsidDel="00000000" w:rsidP="00000000" w:rsidRDefault="00000000" w:rsidRPr="00000000" w14:paraId="0000003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see ‘</w:t>
      </w:r>
      <w:hyperlink r:id="rId1">
        <w:r w:rsidDel="00000000" w:rsidR="00000000" w:rsidRPr="00000000">
          <w:rPr>
            <w:color w:val="1155cc"/>
            <w:sz w:val="20"/>
            <w:szCs w:val="20"/>
            <w:u w:val="single"/>
            <w:rtl w:val="0"/>
          </w:rPr>
          <w:t xml:space="preserve">Recruitment Principles’</w:t>
        </w:r>
      </w:hyperlink>
      <w:r w:rsidDel="00000000" w:rsidR="00000000" w:rsidRPr="00000000">
        <w:rPr>
          <w:sz w:val="20"/>
          <w:szCs w:val="20"/>
          <w:rtl w:val="0"/>
        </w:rPr>
        <w:t xml:space="preserve"> Annex A for Exception definitions)</w:t>
      </w:r>
    </w:p>
  </w:footnote>
  <w:footnote w:id="0">
    <w:p w:rsidR="00000000" w:rsidDel="00000000" w:rsidP="00000000" w:rsidRDefault="00000000" w:rsidRPr="00000000" w14:paraId="000000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You will find a list of GFiE schemes at h</w:t>
      </w:r>
      <w:hyperlink r:id="rId2">
        <w:r w:rsidDel="00000000" w:rsidR="00000000" w:rsidRPr="00000000">
          <w:rPr>
            <w:color w:val="1155cc"/>
            <w:highlight w:val="white"/>
            <w:u w:val="single"/>
            <w:rtl w:val="0"/>
          </w:rPr>
          <w:t xml:space="preserve">ttps://www.civil-service-careers.gov.uk/gfie-schemes/</w:t>
        </w:r>
      </w:hyperlink>
      <w:r w:rsidDel="00000000" w:rsidR="00000000" w:rsidRPr="00000000">
        <w:rPr>
          <w:i w:val="1"/>
          <w:color w:val="ff0000"/>
          <w:highlight w:val="whit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OFFICIAL SENSITIVE WHEN COMPLETE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left"/>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5505450</wp:posOffset>
          </wp:positionH>
          <wp:positionV relativeFrom="paragraph">
            <wp:posOffset>38100</wp:posOffset>
          </wp:positionV>
          <wp:extent cx="1136196" cy="795338"/>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6196" cy="795338"/>
                  </a:xfrm>
                  <a:prstGeom prst="rect"/>
                  <a:ln/>
                </pic:spPr>
              </pic:pic>
            </a:graphicData>
          </a:graphic>
        </wp:anchor>
      </w:drawing>
    </w:r>
  </w:p>
  <w:p w:rsidR="00000000" w:rsidDel="00000000" w:rsidP="00000000" w:rsidRDefault="00000000" w:rsidRPr="00000000" w14:paraId="00000037">
    <w:pPr>
      <w:jc w:val="center"/>
      <w:rPr/>
    </w:pPr>
    <w:r w:rsidDel="00000000" w:rsidR="00000000" w:rsidRPr="00000000">
      <w:rPr>
        <w:rtl w:val="0"/>
      </w:rPr>
      <w:t xml:space="preserve">OFFICIAL SENSITIVE WHEN COMPLETE</w:t>
    </w:r>
  </w:p>
  <w:p w:rsidR="00000000" w:rsidDel="00000000" w:rsidP="00000000" w:rsidRDefault="00000000" w:rsidRPr="00000000" w14:paraId="00000038">
    <w:pPr>
      <w:jc w:val="left"/>
      <w:rPr>
        <w:b w:val="1"/>
      </w:rPr>
    </w:pPr>
    <w:r w:rsidDel="00000000" w:rsidR="00000000" w:rsidRPr="00000000">
      <w:rPr>
        <w:rtl w:val="0"/>
      </w:rPr>
    </w:r>
  </w:p>
  <w:p w:rsidR="00000000" w:rsidDel="00000000" w:rsidP="00000000" w:rsidRDefault="00000000" w:rsidRPr="00000000" w14:paraId="00000039">
    <w:pPr>
      <w:jc w:val="left"/>
      <w:rPr>
        <w:b w:val="1"/>
      </w:rPr>
    </w:pPr>
    <w:r w:rsidDel="00000000" w:rsidR="00000000" w:rsidRPr="00000000">
      <w:rPr>
        <w:rtl w:val="0"/>
      </w:rPr>
    </w:r>
  </w:p>
  <w:p w:rsidR="00000000" w:rsidDel="00000000" w:rsidP="00000000" w:rsidRDefault="00000000" w:rsidRPr="00000000" w14:paraId="0000003A">
    <w:pPr>
      <w:jc w:val="center"/>
      <w:rPr>
        <w:b w:val="1"/>
      </w:rPr>
    </w:pPr>
    <w:r w:rsidDel="00000000" w:rsidR="00000000" w:rsidRPr="00000000">
      <w:rPr>
        <w:b w:val="1"/>
        <w:rtl w:val="0"/>
      </w:rPr>
      <w:t xml:space="preserve">EXCEPTION 10 (CONVERSION TO PERMANENCY) REQUEST </w:t>
    </w:r>
    <w:r w:rsidDel="00000000" w:rsidR="00000000" w:rsidRPr="00000000">
      <w:rPr>
        <w:rtl w:val="0"/>
      </w:rPr>
    </w:r>
  </w:p>
  <w:p w:rsidR="00000000" w:rsidDel="00000000" w:rsidP="00000000" w:rsidRDefault="00000000" w:rsidRPr="00000000" w14:paraId="0000003B">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00"/>
      <w:outlineLvl w:val="0"/>
    </w:pPr>
    <w:rPr>
      <w:sz w:val="40"/>
      <w:szCs w:val="40"/>
    </w:rPr>
  </w:style>
  <w:style w:type="paragraph" w:styleId="Heading2">
    <w:name w:val="heading 2"/>
    <w:basedOn w:val="normal0"/>
    <w:next w:val="normal0"/>
    <w:pPr>
      <w:keepNext w:val="1"/>
      <w:keepLines w:val="1"/>
      <w:spacing w:after="120" w:before="360"/>
      <w:outlineLvl w:val="1"/>
    </w:pPr>
    <w:rPr>
      <w:sz w:val="32"/>
      <w:szCs w:val="32"/>
    </w:rPr>
  </w:style>
  <w:style w:type="paragraph" w:styleId="Heading3">
    <w:name w:val="heading 3"/>
    <w:basedOn w:val="normal0"/>
    <w:next w:val="normal0"/>
    <w:pPr>
      <w:keepNext w:val="1"/>
      <w:keepLines w:val="1"/>
      <w:spacing w:after="80" w:before="320"/>
      <w:outlineLvl w:val="2"/>
    </w:pPr>
    <w:rPr>
      <w:color w:val="434343"/>
      <w:sz w:val="28"/>
      <w:szCs w:val="28"/>
    </w:rPr>
  </w:style>
  <w:style w:type="paragraph" w:styleId="Heading4">
    <w:name w:val="heading 4"/>
    <w:basedOn w:val="normal0"/>
    <w:next w:val="normal0"/>
    <w:pPr>
      <w:keepNext w:val="1"/>
      <w:keepLines w:val="1"/>
      <w:spacing w:after="80" w:before="280"/>
      <w:outlineLvl w:val="3"/>
    </w:pPr>
    <w:rPr>
      <w:color w:val="666666"/>
      <w:sz w:val="24"/>
      <w:szCs w:val="24"/>
    </w:rPr>
  </w:style>
  <w:style w:type="paragraph" w:styleId="Heading5">
    <w:name w:val="heading 5"/>
    <w:basedOn w:val="normal0"/>
    <w:next w:val="normal0"/>
    <w:pPr>
      <w:keepNext w:val="1"/>
      <w:keepLines w:val="1"/>
      <w:spacing w:after="80" w:before="240"/>
      <w:outlineLvl w:val="4"/>
    </w:pPr>
    <w:rPr>
      <w:color w:val="666666"/>
    </w:rPr>
  </w:style>
  <w:style w:type="paragraph" w:styleId="Heading6">
    <w:name w:val="heading 6"/>
    <w:basedOn w:val="normal0"/>
    <w:next w:val="normal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60"/>
    </w:pPr>
    <w:rPr>
      <w:sz w:val="52"/>
      <w:szCs w:val="52"/>
    </w:rPr>
  </w:style>
  <w:style w:type="paragraph" w:styleId="Subtitle">
    <w:name w:val="Subtitle"/>
    <w:basedOn w:val="normal0"/>
    <w:next w:val="normal0"/>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Header">
    <w:name w:val="header"/>
    <w:basedOn w:val="Normal"/>
    <w:link w:val="HeaderChar"/>
    <w:uiPriority w:val="99"/>
    <w:unhideWhenUsed w:val="1"/>
    <w:rsid w:val="00AD0FE8"/>
    <w:pPr>
      <w:tabs>
        <w:tab w:val="center" w:pos="4320"/>
        <w:tab w:val="right" w:pos="8640"/>
      </w:tabs>
      <w:spacing w:line="240" w:lineRule="auto"/>
    </w:pPr>
  </w:style>
  <w:style w:type="character" w:styleId="HeaderChar" w:customStyle="1">
    <w:name w:val="Header Char"/>
    <w:basedOn w:val="DefaultParagraphFont"/>
    <w:link w:val="Header"/>
    <w:uiPriority w:val="99"/>
    <w:rsid w:val="00AD0FE8"/>
  </w:style>
  <w:style w:type="paragraph" w:styleId="Footer">
    <w:name w:val="footer"/>
    <w:basedOn w:val="Normal"/>
    <w:link w:val="FooterChar"/>
    <w:uiPriority w:val="99"/>
    <w:unhideWhenUsed w:val="1"/>
    <w:rsid w:val="00AD0FE8"/>
    <w:pPr>
      <w:tabs>
        <w:tab w:val="center" w:pos="4320"/>
        <w:tab w:val="right" w:pos="8640"/>
      </w:tabs>
      <w:spacing w:line="240" w:lineRule="auto"/>
    </w:pPr>
  </w:style>
  <w:style w:type="character" w:styleId="FooterChar" w:customStyle="1">
    <w:name w:val="Footer Char"/>
    <w:basedOn w:val="DefaultParagraphFont"/>
    <w:link w:val="Footer"/>
    <w:uiPriority w:val="99"/>
    <w:rsid w:val="00AD0FE8"/>
  </w:style>
  <w:style w:type="paragraph" w:styleId="FootnoteText">
    <w:name w:val="footnote text"/>
    <w:basedOn w:val="Normal"/>
    <w:link w:val="FootnoteTextChar"/>
    <w:uiPriority w:val="99"/>
    <w:unhideWhenUsed w:val="1"/>
    <w:rsid w:val="00E50EC7"/>
    <w:pPr>
      <w:spacing w:line="240" w:lineRule="auto"/>
    </w:pPr>
    <w:rPr>
      <w:sz w:val="24"/>
      <w:szCs w:val="24"/>
    </w:rPr>
  </w:style>
  <w:style w:type="character" w:styleId="FootnoteTextChar" w:customStyle="1">
    <w:name w:val="Footnote Text Char"/>
    <w:basedOn w:val="DefaultParagraphFont"/>
    <w:link w:val="FootnoteText"/>
    <w:uiPriority w:val="99"/>
    <w:rsid w:val="00E50EC7"/>
    <w:rPr>
      <w:sz w:val="24"/>
      <w:szCs w:val="24"/>
    </w:rPr>
  </w:style>
  <w:style w:type="character" w:styleId="FootnoteReference">
    <w:name w:val="footnote reference"/>
    <w:basedOn w:val="DefaultParagraphFont"/>
    <w:uiPriority w:val="99"/>
    <w:unhideWhenUsed w:val="1"/>
    <w:rsid w:val="00E50EC7"/>
    <w:rPr>
      <w:vertAlign w:val="superscript"/>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csc.gov.u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FIE@cabinetoffice.gov.uk"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csc.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ivilservicecommission.independent.gov.uk/wp-content/uploads/2019/03/02a_RECRUITMENT-PRINCIPLES-April-2018-FINAL-.pdf" TargetMode="External"/><Relationship Id="rId2" Type="http://schemas.openxmlformats.org/officeDocument/2006/relationships/hyperlink" Target="https://www.civil-service-careers.gov.uk/gfie-schem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hmcBeEFUsr6r5tWntZ98IWVjA==">CgMxLjAaHwoBMBIaChgICVIUChJ0YWJsZS5vZWp2bmFlM2hvZDIaHwoBMRIaChgICVIUChJ0YWJsZS55ZG4yMjFxZDhsam0aHwoBMhIaChgICVIUChJ0YWJsZS5ycjhoMGNtbXdpcjEaHwoBMxIaChgICVIUChJ0YWJsZS5sYngzdm9iaWYzNnkaHwoBNBIaChgICVIUChJ0YWJsZS5yZHhiNWQ3OWwxdnkaHwoBNRIaChgICVIUChJ0YWJsZS42ZHY4MGNtazNsaTcaHwoBNhIaChgICVIUChJ0YWJsZS42bXB5YmtmdWs4d2w4AGoiChNzdWdnZXN0LmhxNXJiemZhaXlsEgtIb2xseSBIZWFwc2ojChRzdWdnZXN0LnR6YW9jYTUzeHg4YRILSG9sbHkgSGVhcHNqIgoTc3VnZ2VzdC4yaG5neHI2dDBybhILSG9sbHkgSGVhcHNqIwoUc3VnZ2VzdC45anNpMG1xeHZqbmISC0hvbGx5IEhlYXBzciExc29YY2FUWlJrUktaZm9RaXRsN1JiT2F2VFpFR0Y3M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2019-03-18T14:05:00Z</dcterms:created>
</cp:coreProperties>
</file>